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方正小标宋简体" w:hAnsi="方正小标宋简体" w:eastAsia="方正小标宋简体"/>
          <w:b/>
          <w:sz w:val="36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b w:val="0"/>
          <w:bCs/>
          <w:sz w:val="44"/>
          <w:szCs w:val="44"/>
        </w:rPr>
      </w:pPr>
      <w:bookmarkStart w:id="0" w:name="_GoBack"/>
      <w:r>
        <w:rPr>
          <w:rFonts w:ascii="方正小标宋简体" w:hAnsi="方正小标宋简体" w:eastAsia="方正小标宋简体"/>
          <w:b w:val="0"/>
          <w:bCs/>
          <w:sz w:val="44"/>
          <w:szCs w:val="44"/>
        </w:rPr>
        <w:t>2026年淮南市科普研学活动项目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/>
          <w:b w:val="0"/>
          <w:bCs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/>
          <w:b w:val="0"/>
          <w:bCs/>
          <w:sz w:val="44"/>
          <w:szCs w:val="44"/>
        </w:rPr>
        <w:t>评分</w:t>
      </w:r>
      <w:r>
        <w:rPr>
          <w:rFonts w:hint="eastAsia" w:ascii="方正小标宋简体" w:hAnsi="方正小标宋简体" w:eastAsia="方正小标宋简体"/>
          <w:b w:val="0"/>
          <w:bCs/>
          <w:sz w:val="44"/>
          <w:szCs w:val="44"/>
          <w:lang w:eastAsia="zh-CN"/>
        </w:rPr>
        <w:t>明细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/>
          <w:b/>
          <w:sz w:val="36"/>
          <w:lang w:eastAsia="zh-CN"/>
        </w:rPr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115"/>
        <w:gridCol w:w="830"/>
        <w:gridCol w:w="64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序号</w:t>
            </w:r>
          </w:p>
        </w:tc>
        <w:tc>
          <w:tcPr>
            <w:tcW w:w="1115" w:type="dxa"/>
            <w:shd w:val="clear" w:color="auto" w:fill="D9E2F3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评分项目</w:t>
            </w:r>
          </w:p>
        </w:tc>
        <w:tc>
          <w:tcPr>
            <w:tcW w:w="830" w:type="dxa"/>
            <w:shd w:val="clear" w:color="auto" w:fill="D9E2F3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分值</w:t>
            </w:r>
          </w:p>
        </w:tc>
        <w:tc>
          <w:tcPr>
            <w:tcW w:w="6445" w:type="dxa"/>
            <w:shd w:val="clear" w:color="auto" w:fill="D9E2F3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评分细则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1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路线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策划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15</w:t>
            </w:r>
          </w:p>
        </w:tc>
        <w:tc>
          <w:tcPr>
            <w:tcW w:w="644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1. 主题贴合度与差异化（5分）：</w:t>
            </w:r>
            <w:r>
              <w:rPr>
                <w:rFonts w:ascii="宋体" w:hAnsi="宋体" w:eastAsia="宋体"/>
                <w:b w:val="0"/>
                <w:sz w:val="20"/>
              </w:rPr>
              <w:t>完全立足淮南市实际，主题与青少年科普需求高度契合，且路线点位及内容与2025年市科协发布的三条市级科普研学路线均不相同得5分；基本贴合淮南实际但差异化不明显得3-4分；脱离淮南实际或与已有路线重复得0-2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2. 研学点质量（6分）：</w:t>
            </w:r>
            <w:r>
              <w:rPr>
                <w:rFonts w:ascii="宋体" w:hAnsi="宋体" w:eastAsia="宋体"/>
                <w:b w:val="0"/>
                <w:sz w:val="20"/>
              </w:rPr>
              <w:t>设计至少1条科普研学路线，含2个及以上优质科普点得6分；路线研学点不足2个，每缺1个扣2分；研学点科普价值较低，酌情扣1-3分。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3. 路线合理性（4分）：</w:t>
            </w:r>
            <w:r>
              <w:rPr>
                <w:rFonts w:ascii="宋体" w:hAnsi="宋体" w:eastAsia="宋体"/>
                <w:b w:val="0"/>
                <w:sz w:val="20"/>
              </w:rPr>
              <w:t>行程安排紧凑适中、符合青少年体力与时间、无安全风险得4分；行程松散或时间冲突，扣1-2分；存在潜在安全隐患（如偏远未开发区域），扣3-4分。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2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课程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设计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15</w:t>
            </w:r>
          </w:p>
        </w:tc>
        <w:tc>
          <w:tcPr>
            <w:tcW w:w="644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1. 课程数量（4分）：</w:t>
            </w:r>
            <w:r>
              <w:rPr>
                <w:rFonts w:ascii="宋体" w:hAnsi="宋体" w:eastAsia="宋体"/>
                <w:b w:val="0"/>
                <w:sz w:val="20"/>
              </w:rPr>
              <w:t>配套开设不少于2个科普实践课程得4分；每少1个课程扣2分，扣完为止。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2. 内容适宜性与实践性（6分）：</w:t>
            </w:r>
            <w:r>
              <w:rPr>
                <w:rFonts w:ascii="宋体" w:hAnsi="宋体" w:eastAsia="宋体"/>
                <w:b w:val="0"/>
                <w:sz w:val="20"/>
              </w:rPr>
              <w:t>课程内容积极向上、贴合青少年认知水平，且包含动手实践、导师引领等环节得6分；内容枯燥或无实践环节，扣2-4分；课程不符合青少年身心健康，扣5-6分。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3. 板块覆盖与路线融合度（5分）：</w:t>
            </w:r>
            <w:r>
              <w:rPr>
                <w:rFonts w:ascii="宋体" w:hAnsi="宋体" w:eastAsia="宋体"/>
                <w:b w:val="0"/>
                <w:sz w:val="20"/>
              </w:rPr>
              <w:t>课程核心涵盖前沿科技、当地特色传统文化、青少年科创能力培养等研学板块，且与研学点特色深度结合，形成"点-课-实践"闭环得5分；板块覆盖不全或结合度一般，扣2-3分；课程与路线脱节，扣4-5分。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3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活动组织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宋体" w:hAns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sz w:val="21"/>
              </w:rPr>
              <w:t>与服务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方案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10</w:t>
            </w:r>
          </w:p>
        </w:tc>
        <w:tc>
          <w:tcPr>
            <w:tcW w:w="644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1. 活动规模与场次（4分）：</w:t>
            </w:r>
            <w:r>
              <w:rPr>
                <w:rFonts w:ascii="宋体" w:hAnsi="宋体" w:eastAsia="宋体"/>
                <w:b w:val="0"/>
                <w:sz w:val="20"/>
              </w:rPr>
              <w:t>方案明确专题活动不少于4场，每场按1天/场组织，每场参与人数不低于50人，总服务学生数不少于200人得4分；场次、人数每有一项不达标扣1分，扣完为止。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2. 组织流程与质量保障（4分）：</w:t>
            </w:r>
            <w:r>
              <w:rPr>
                <w:rFonts w:ascii="宋体" w:hAnsi="宋体" w:eastAsia="宋体"/>
                <w:b w:val="0"/>
                <w:sz w:val="20"/>
              </w:rPr>
              <w:t>服务方案包含详细活动组织流程、质量保障措施、后期反馈机制，且无转包/分包承诺得4分；方案每缺1项核心内容扣1分，方案严重不完整得0分。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3. 全项费用承诺（2分）：</w:t>
            </w:r>
            <w:r>
              <w:rPr>
                <w:rFonts w:ascii="宋体" w:hAnsi="宋体" w:eastAsia="宋体"/>
                <w:b w:val="0"/>
                <w:sz w:val="20"/>
              </w:rPr>
              <w:t>活动报价明确包含交通、课程、保险、餐食等全项费用，承诺无隐形消费得2分；费用涵盖不全或未作无隐形消费承诺，扣1-2分。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投标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价格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20</w:t>
            </w:r>
          </w:p>
        </w:tc>
        <w:tc>
          <w:tcPr>
            <w:tcW w:w="644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价格竞争力（20分）：</w:t>
            </w:r>
            <w:r>
              <w:rPr>
                <w:rFonts w:ascii="宋体" w:hAnsi="宋体" w:eastAsia="宋体"/>
                <w:b w:val="0"/>
                <w:sz w:val="20"/>
              </w:rPr>
              <w:t>以所有合规报价中的最低报价为基准价，得20分；其他报价按"（基准价/投标报价）×20"计算得分，保留小数点后两位。投标报价不得超过项目经费总额4万元，且应按每人次标准进行报价，包含综合报价和费用组成明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5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服务人员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专业性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10</w:t>
            </w:r>
          </w:p>
        </w:tc>
        <w:tc>
          <w:tcPr>
            <w:tcW w:w="644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1. 团队资质（6分）：</w:t>
            </w:r>
            <w:r>
              <w:rPr>
                <w:rFonts w:ascii="宋体" w:hAnsi="宋体" w:eastAsia="宋体"/>
                <w:b w:val="0"/>
                <w:sz w:val="20"/>
              </w:rPr>
              <w:t>服务团队含3名及以上持研学导师证、教育类或科技类相关资质证书的人员，且配备老师及助教得6分；每少1名持证人员扣2分；无任何专业资质得0分。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2. 人员经验（4分）：</w:t>
            </w:r>
            <w:r>
              <w:rPr>
                <w:rFonts w:ascii="宋体" w:hAnsi="宋体" w:eastAsia="宋体"/>
                <w:b w:val="0"/>
                <w:sz w:val="20"/>
              </w:rPr>
              <w:t>团队核心成员（如课程研发、活动组织负责人）有3年及以上研学活动经验，老师及助教具备丰富教学经验得4分；经验不足1年，扣2-3分；无相关经验得0分。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6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餐饮及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交通安排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7</w:t>
            </w:r>
          </w:p>
        </w:tc>
        <w:tc>
          <w:tcPr>
            <w:tcW w:w="644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1. 餐饮保障（4分）：</w:t>
            </w:r>
            <w:r>
              <w:rPr>
                <w:rFonts w:ascii="宋体" w:hAnsi="宋体" w:eastAsia="宋体"/>
                <w:b w:val="0"/>
                <w:sz w:val="20"/>
              </w:rPr>
              <w:t>明确提供符合青少年营养标准的餐饮方案（含卫生资质、餐食搭配）得4分；方案不明确或无卫生资质证明，扣2-3分；无餐饮方案得0分。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2. 交通保障（3分）：</w:t>
            </w:r>
            <w:r>
              <w:rPr>
                <w:rFonts w:ascii="宋体" w:hAnsi="宋体" w:eastAsia="宋体"/>
                <w:b w:val="0"/>
                <w:sz w:val="20"/>
              </w:rPr>
              <w:t>提供合规旅游运营车辆（含车辆行驶证、座位险）得3分；车辆资质不全，扣1-2分；无明确交通方案得0分。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7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宣传推广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方案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8</w:t>
            </w:r>
          </w:p>
        </w:tc>
        <w:tc>
          <w:tcPr>
            <w:tcW w:w="644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1. 素材留存计划（3分）：</w:t>
            </w:r>
            <w:r>
              <w:rPr>
                <w:rFonts w:ascii="宋体" w:hAnsi="宋体" w:eastAsia="宋体"/>
                <w:b w:val="0"/>
                <w:sz w:val="20"/>
              </w:rPr>
              <w:t>明确每场科普研学活动留取视频、照片等素材的计划与标准得3分；计划不完整或标准不明确，扣1-2分；无素材留存计划得0分。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2. 宣传材料与报道（3分）：</w:t>
            </w:r>
            <w:r>
              <w:rPr>
                <w:rFonts w:ascii="宋体" w:hAnsi="宋体" w:eastAsia="宋体"/>
                <w:b w:val="0"/>
                <w:sz w:val="20"/>
              </w:rPr>
              <w:t>承诺提供总结性宣传材料，并协助市科协在相关平台发布宣传报道得3分；仅提供宣传材料或仅协助发布，扣1-2分；无宣传推广安排得0分。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3. 宣传覆盖面与影响力（2分）：</w:t>
            </w:r>
            <w:r>
              <w:rPr>
                <w:rFonts w:ascii="宋体" w:hAnsi="宋体" w:eastAsia="宋体"/>
                <w:b w:val="0"/>
                <w:sz w:val="20"/>
              </w:rPr>
              <w:t>方案对宣传覆盖面、社会影响力有明确规划和预期目标得2分；规划模糊或无目标，扣1-2分。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8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过往研学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业绩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8</w:t>
            </w:r>
          </w:p>
        </w:tc>
        <w:tc>
          <w:tcPr>
            <w:tcW w:w="644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0"/>
              </w:rPr>
              <w:t>1. 近3年内（或开业以来）承办过1个及以上青少年研学活动项目（单个项目人数≥50人）得4分；承办过2个及以上同类项目，或单个项目人数≥100人得8分；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0"/>
              </w:rPr>
              <w:t>2. 无相关业绩得0分。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9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应急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/>
                <w:sz w:val="21"/>
              </w:rPr>
              <w:t>预案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1"/>
              </w:rPr>
              <w:t>7</w:t>
            </w:r>
          </w:p>
        </w:tc>
        <w:tc>
          <w:tcPr>
            <w:tcW w:w="644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1. 完整性（4分）：</w:t>
            </w:r>
            <w:r>
              <w:rPr>
                <w:rFonts w:ascii="宋体" w:hAnsi="宋体" w:eastAsia="宋体"/>
                <w:b w:val="0"/>
                <w:sz w:val="20"/>
              </w:rPr>
              <w:t>包含人身安全、突发天气、医疗急救等专项预案，且做到"活动有方案，行前有备案，应急有预案"得4分；缺1项专项预案或行前备案扣1分，扣完为止。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</w:pPr>
            <w:r>
              <w:rPr>
                <w:rFonts w:ascii="宋体" w:hAnsi="宋体" w:eastAsia="宋体"/>
                <w:b/>
                <w:bCs/>
                <w:sz w:val="20"/>
              </w:rPr>
              <w:t>2. 可操作性（3分）：</w:t>
            </w:r>
            <w:r>
              <w:rPr>
                <w:rFonts w:ascii="宋体" w:hAnsi="宋体" w:eastAsia="宋体"/>
                <w:b w:val="0"/>
                <w:sz w:val="20"/>
              </w:rPr>
              <w:t>预案明确责任分工、应急联系人及处置流程得3分；流程模糊或无责任分工，扣1-3分。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5" w:type="dxa"/>
            <w:gridSpan w:val="3"/>
            <w:shd w:val="clear" w:color="auto" w:fill="D9E2F3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合计</w:t>
            </w:r>
          </w:p>
        </w:tc>
        <w:tc>
          <w:tcPr>
            <w:tcW w:w="6445" w:type="dxa"/>
            <w:vAlign w:val="center"/>
          </w:tcPr>
          <w:p>
            <w:pPr>
              <w:spacing w:before="20" w:after="20" w:line="30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/>
                <w:sz w:val="22"/>
              </w:rPr>
              <w:t>100</w:t>
            </w:r>
            <w:r>
              <w:rPr>
                <w:rFonts w:hint="eastAsia"/>
                <w:b/>
                <w:sz w:val="22"/>
                <w:lang w:eastAsia="zh-CN"/>
              </w:rPr>
              <w:t>分</w:t>
            </w:r>
          </w:p>
        </w:tc>
      </w:tr>
    </w:tbl>
    <w:p/>
    <w:p>
      <w:pPr>
        <w:spacing w:before="120"/>
      </w:pPr>
      <w:r>
        <w:rPr>
          <w:rFonts w:ascii="宋体" w:hAnsi="宋体" w:eastAsia="宋体"/>
          <w:b/>
          <w:sz w:val="21"/>
        </w:rPr>
        <w:t>备注：</w:t>
      </w:r>
      <w:r>
        <w:rPr>
          <w:rFonts w:ascii="宋体" w:hAnsi="宋体" w:eastAsia="宋体"/>
          <w:b w:val="0"/>
          <w:sz w:val="21"/>
        </w:rPr>
        <w:t>1. 本评分表总分100分，最终得分取所有评委评分的算术平均值。按得分由高到低确定中标供应商；得分相同的，优先选择报价较低者；报价也相同时，由评标委员会投票确定。</w:t>
      </w:r>
      <w:r>
        <w:rPr>
          <w:rFonts w:ascii="宋体" w:hAnsi="宋体" w:eastAsia="宋体"/>
          <w:b w:val="0"/>
          <w:sz w:val="21"/>
        </w:rPr>
        <w:br w:type="textWrapping"/>
      </w:r>
      <w:r>
        <w:rPr>
          <w:rFonts w:ascii="宋体" w:hAnsi="宋体" w:eastAsia="宋体"/>
          <w:b w:val="0"/>
          <w:sz w:val="21"/>
        </w:rPr>
        <w:t>2. 本次评标采取综合评分法，综合考虑路线安排、课程设计、活动组织、餐饮及交通安排、服务质量、价格、服务人员专业性、宣传推广等因素。</w:t>
      </w:r>
      <w:r>
        <w:rPr>
          <w:rFonts w:ascii="宋体" w:hAnsi="宋体" w:eastAsia="宋体"/>
          <w:b w:val="0"/>
          <w:sz w:val="21"/>
        </w:rPr>
        <w:br w:type="textWrapping"/>
      </w:r>
      <w:r>
        <w:rPr>
          <w:rFonts w:ascii="宋体" w:hAnsi="宋体" w:eastAsia="宋体"/>
          <w:b w:val="0"/>
          <w:sz w:val="21"/>
        </w:rPr>
        <w:t>3. 投标报价应包含但不限于路线策划及课程设计费、餐饮、交通费、意外保险、人员劳务费、税费等费用，按每人次的标准进行报价，且不得超过项目经费总额4万元。</w:t>
      </w:r>
    </w:p>
    <w:sectPr>
      <w:pgSz w:w="11906" w:h="16838"/>
      <w:pgMar w:top="1440" w:right="1417" w:bottom="1440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仿宋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仿宋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ＭＳ 明朝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969DD53F"/>
    <w:rsid w:val="9977DAC2"/>
    <w:rsid w:val="B5FB2A78"/>
    <w:rsid w:val="BFBF9882"/>
    <w:rsid w:val="FB7EECC5"/>
    <w:rsid w:val="FE5F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uos</cp:lastModifiedBy>
  <dcterms:modified xsi:type="dcterms:W3CDTF">2026-08-31T09:43:06Z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D14543EBF0B92FB9C38D8F6AC799FF4C_42</vt:lpwstr>
  </property>
</Properties>
</file>